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0EA13" w14:textId="77777777" w:rsidR="00A149B0" w:rsidRDefault="00A149B0">
      <w:pPr>
        <w:divId w:val="1053310880"/>
        <w:rPr>
          <w:rFonts w:eastAsia="Times New Roma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7F9B9745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A149B0" w14:paraId="1EE7C68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50B976" w14:textId="77777777" w:rsidR="00A149B0" w:rsidRDefault="00FD7993">
                  <w:pPr>
                    <w:rPr>
                      <w:rFonts w:eastAsia="Times New Roman"/>
                    </w:rPr>
                  </w:pPr>
                  <w:bookmarkStart w:id="0" w:name="DOCUMENT:1;HEADER:1;"/>
                  <w:bookmarkEnd w:id="0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A149B0" w14:paraId="5A45500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F46578" w14:textId="77777777" w:rsidR="008533FE" w:rsidRDefault="00FD7993" w:rsidP="008533FE">
                  <w:pPr>
                    <w:pStyle w:val="NormalWeb"/>
                    <w:jc w:val="center"/>
                  </w:pP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წალენჯიხის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მუნიციპალიტეტის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sz w:val="27"/>
                      <w:szCs w:val="27"/>
                    </w:rPr>
                    <w:t>საკრებულოს</w:t>
                  </w:r>
                  <w:proofErr w:type="spellEnd"/>
                  <w:r>
                    <w:t xml:space="preserve"> </w:t>
                  </w:r>
                </w:p>
                <w:p w14:paraId="1856F017" w14:textId="6D49CAC2" w:rsidR="00A149B0" w:rsidRPr="008533FE" w:rsidRDefault="00FD7993" w:rsidP="008533FE">
                  <w:pPr>
                    <w:pStyle w:val="NormalWeb"/>
                    <w:jc w:val="center"/>
                  </w:pPr>
                  <w:proofErr w:type="spellStart"/>
                  <w:r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დადგენილება</w:t>
                  </w:r>
                  <w:proofErr w:type="spellEnd"/>
                  <w:r>
                    <w:rPr>
                      <w:rFonts w:eastAsia="Times New Roman"/>
                      <w:sz w:val="27"/>
                      <w:szCs w:val="27"/>
                    </w:rPr>
                    <w:t xml:space="preserve"> №</w:t>
                  </w:r>
                  <w:r>
                    <w:rPr>
                      <w:rFonts w:asciiTheme="minorHAnsi" w:eastAsia="Times New Roman" w:hAnsiTheme="minorHAnsi"/>
                      <w:sz w:val="27"/>
                      <w:szCs w:val="27"/>
                      <w:lang w:val="ka-GE"/>
                    </w:rPr>
                    <w:t>--</w:t>
                  </w:r>
                  <w:r>
                    <w:rPr>
                      <w:rFonts w:eastAsia="Times New Roman"/>
                      <w:lang w:val="ka-GE"/>
                    </w:rPr>
                    <w:t xml:space="preserve"> </w:t>
                  </w:r>
                </w:p>
              </w:tc>
            </w:tr>
            <w:tr w:rsidR="00A149B0" w14:paraId="0131312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1D4803" w14:textId="77777777" w:rsidR="00A149B0" w:rsidRDefault="00FD7993">
                  <w:pPr>
                    <w:pStyle w:val="NormalWeb"/>
                    <w:jc w:val="center"/>
                  </w:pPr>
                  <w:r>
                    <w:t>20</w:t>
                  </w:r>
                  <w:r>
                    <w:rPr>
                      <w:rFonts w:asciiTheme="minorHAnsi" w:hAnsiTheme="minorHAnsi"/>
                      <w:lang w:val="ka-GE"/>
                    </w:rPr>
                    <w:t>22</w:t>
                  </w:r>
                  <w:r>
                    <w:rPr>
                      <w:lang w:val="ka-GE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</w:rPr>
                    <w:t>წლის</w:t>
                  </w:r>
                  <w:proofErr w:type="spellEnd"/>
                  <w:r>
                    <w:t xml:space="preserve"> </w:t>
                  </w:r>
                  <w:r>
                    <w:rPr>
                      <w:rFonts w:asciiTheme="minorHAnsi" w:hAnsiTheme="minorHAnsi"/>
                      <w:lang w:val="ka-GE"/>
                    </w:rPr>
                    <w:t>---</w:t>
                  </w:r>
                  <w:r>
                    <w:rPr>
                      <w:lang w:val="ka-GE"/>
                    </w:rPr>
                    <w:t xml:space="preserve"> </w:t>
                  </w:r>
                </w:p>
                <w:p w14:paraId="6E605887" w14:textId="77777777" w:rsidR="00A149B0" w:rsidRDefault="00FD7993">
                  <w:pPr>
                    <w:pStyle w:val="NormalWeb"/>
                    <w:jc w:val="center"/>
                  </w:pPr>
                  <w:r>
                    <w:rPr>
                      <w:rFonts w:ascii="Sylfaen" w:hAnsi="Sylfaen" w:cs="Sylfaen"/>
                    </w:rPr>
                    <w:t>ქ</w:t>
                  </w:r>
                  <w:r>
                    <w:t xml:space="preserve">. </w:t>
                  </w:r>
                  <w:proofErr w:type="spellStart"/>
                  <w:r>
                    <w:rPr>
                      <w:rFonts w:ascii="Sylfaen" w:hAnsi="Sylfaen" w:cs="Sylfaen"/>
                    </w:rPr>
                    <w:t>წალენჯიხა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14:paraId="57374D41" w14:textId="5189E4B1" w:rsidR="00A149B0" w:rsidRDefault="00A149B0">
            <w:pPr>
              <w:pStyle w:val="NormalWeb"/>
              <w:jc w:val="center"/>
              <w:rPr>
                <w:b/>
                <w:bCs/>
              </w:rPr>
            </w:pPr>
          </w:p>
        </w:tc>
      </w:tr>
    </w:tbl>
    <w:p w14:paraId="0F072383" w14:textId="77777777" w:rsidR="00A149B0" w:rsidRDefault="00A149B0">
      <w:pPr>
        <w:divId w:val="183364271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70E93954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A0C5E" w14:textId="77777777" w:rsidR="00A149B0" w:rsidRDefault="00FD7993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საშტატო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ნუსხის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დამტკიცებისა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პოლიტიკური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თანამდებობის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პირთა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პროფესიულ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საჯარო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მოხელეთა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ადმინისტრაციული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ხელშეკრულებით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დასაქმებულ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პირთა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თანამდებობრივი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სარგოების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ოდენობების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განსაზღვრის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proofErr w:type="spellEnd"/>
          </w:p>
        </w:tc>
      </w:tr>
    </w:tbl>
    <w:p w14:paraId="3E493AC9" w14:textId="77777777" w:rsidR="00A149B0" w:rsidRDefault="00A149B0">
      <w:pPr>
        <w:divId w:val="1833642719"/>
        <w:rPr>
          <w:rFonts w:eastAsia="Times New Roman"/>
          <w:vanish/>
        </w:rPr>
      </w:pPr>
      <w:bookmarkStart w:id="1" w:name="DOCUMENT:1;PREAMBLE:1;"/>
      <w:bookmarkEnd w:id="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16693CED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100D2" w14:textId="77777777" w:rsidR="00A149B0" w:rsidRDefault="00FD7993">
            <w:pPr>
              <w:jc w:val="both"/>
              <w:divId w:val="1746610100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</w:rPr>
              <w:t>საქართველოს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ორგანული</w:t>
            </w:r>
            <w:proofErr w:type="spellEnd"/>
            <w:r>
              <w:rPr>
                <w:rFonts w:eastAsia="Times New Roman"/>
              </w:rPr>
              <w:t xml:space="preserve">  </w:t>
            </w:r>
            <w:proofErr w:type="spellStart"/>
            <w:r>
              <w:rPr>
                <w:rFonts w:ascii="Sylfaen" w:eastAsia="Times New Roman" w:hAnsi="Sylfaen" w:cs="Sylfaen"/>
              </w:rPr>
              <w:t>კანონის</w:t>
            </w:r>
            <w:proofErr w:type="spellEnd"/>
            <w:r>
              <w:rPr>
                <w:rFonts w:eastAsia="Times New Roman"/>
              </w:rPr>
              <w:t xml:space="preserve"> „</w:t>
            </w:r>
            <w:proofErr w:type="spellStart"/>
            <w:r>
              <w:rPr>
                <w:rFonts w:ascii="Sylfaen" w:eastAsia="Times New Roman" w:hAnsi="Sylfaen" w:cs="Sylfaen"/>
              </w:rPr>
              <w:t>ადგილობრივი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კოდექსი</w:t>
            </w:r>
            <w:proofErr w:type="spellEnd"/>
            <w:r>
              <w:rPr>
                <w:rFonts w:eastAsia="Times New Roman"/>
              </w:rPr>
              <w:t>“ 24-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მუხლის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პირველი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პუნქტის</w:t>
            </w:r>
            <w:proofErr w:type="spellEnd"/>
            <w:r>
              <w:rPr>
                <w:rFonts w:eastAsia="Times New Roman"/>
              </w:rPr>
              <w:t xml:space="preserve"> „</w:t>
            </w:r>
            <w:proofErr w:type="spellStart"/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proofErr w:type="spellEnd"/>
            <w:r>
              <w:rPr>
                <w:rFonts w:eastAsia="Times New Roman"/>
              </w:rPr>
              <w:t xml:space="preserve">“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„</w:t>
            </w:r>
            <w:proofErr w:type="spellStart"/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ე</w:t>
            </w:r>
            <w:proofErr w:type="spellEnd"/>
            <w:r>
              <w:rPr>
                <w:rFonts w:eastAsia="Times New Roman"/>
              </w:rPr>
              <w:t xml:space="preserve">“ </w:t>
            </w:r>
            <w:proofErr w:type="spellStart"/>
            <w:r>
              <w:rPr>
                <w:rFonts w:ascii="Sylfaen" w:eastAsia="Times New Roman" w:hAnsi="Sylfaen" w:cs="Sylfaen"/>
              </w:rPr>
              <w:t>ქვეპუნქტების</w:t>
            </w:r>
            <w:proofErr w:type="spellEnd"/>
            <w:r>
              <w:rPr>
                <w:rFonts w:eastAsia="Times New Roman"/>
              </w:rPr>
              <w:t>, 61-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მუხლის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 </w:t>
            </w:r>
            <w:proofErr w:type="spellStart"/>
            <w:r>
              <w:rPr>
                <w:rFonts w:ascii="Sylfaen" w:eastAsia="Times New Roman" w:hAnsi="Sylfaen" w:cs="Sylfaen"/>
              </w:rPr>
              <w:t>პუნქტის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საქართველოს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ორგანული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კანონის</w:t>
            </w:r>
            <w:proofErr w:type="spellEnd"/>
            <w:r>
              <w:rPr>
                <w:rFonts w:eastAsia="Times New Roman"/>
              </w:rPr>
              <w:t>  „</w:t>
            </w:r>
            <w:proofErr w:type="spellStart"/>
            <w:r>
              <w:rPr>
                <w:rFonts w:ascii="Sylfaen" w:eastAsia="Times New Roman" w:hAnsi="Sylfaen" w:cs="Sylfaen"/>
              </w:rPr>
              <w:t>ნორმატიული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აქტების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-20 </w:t>
            </w:r>
            <w:proofErr w:type="spellStart"/>
            <w:r>
              <w:rPr>
                <w:rFonts w:ascii="Sylfaen" w:eastAsia="Times New Roman" w:hAnsi="Sylfaen" w:cs="Sylfaen"/>
              </w:rPr>
              <w:t>მუხლის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 </w:t>
            </w:r>
            <w:proofErr w:type="spellStart"/>
            <w:r>
              <w:rPr>
                <w:rFonts w:ascii="Sylfaen" w:eastAsia="Times New Roman" w:hAnsi="Sylfaen" w:cs="Sylfaen"/>
              </w:rPr>
              <w:t>პუნქტის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25-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მუხლის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პირველი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პუნქტის</w:t>
            </w:r>
            <w:proofErr w:type="spellEnd"/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proofErr w:type="spellStart"/>
            <w:r>
              <w:rPr>
                <w:rFonts w:ascii="Sylfaen" w:eastAsia="Times New Roman" w:hAnsi="Sylfaen" w:cs="Sylfaen"/>
              </w:rPr>
              <w:t>ქვეპუნქტის</w:t>
            </w:r>
            <w:proofErr w:type="spellEnd"/>
            <w:r>
              <w:rPr>
                <w:rFonts w:eastAsia="Times New Roman"/>
              </w:rPr>
              <w:t>, „</w:t>
            </w:r>
            <w:proofErr w:type="spellStart"/>
            <w:r>
              <w:rPr>
                <w:rFonts w:ascii="Sylfaen" w:eastAsia="Times New Roman" w:hAnsi="Sylfaen" w:cs="Sylfaen"/>
              </w:rPr>
              <w:t>საჯარო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დაწესებულებაში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შრომის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ანაზღაურების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>
              <w:rPr>
                <w:rFonts w:eastAsia="Times New Roman"/>
              </w:rPr>
              <w:t xml:space="preserve">“ </w:t>
            </w:r>
            <w:proofErr w:type="spellStart"/>
            <w:r>
              <w:rPr>
                <w:rFonts w:ascii="Sylfaen" w:eastAsia="Times New Roman" w:hAnsi="Sylfaen" w:cs="Sylfaen"/>
              </w:rPr>
              <w:t>საქართველოს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კანონის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-8 </w:t>
            </w:r>
            <w:proofErr w:type="spellStart"/>
            <w:r>
              <w:rPr>
                <w:rFonts w:ascii="Sylfaen" w:eastAsia="Times New Roman" w:hAnsi="Sylfaen" w:cs="Sylfaen"/>
              </w:rPr>
              <w:t>მუხლის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 </w:t>
            </w:r>
            <w:proofErr w:type="spellStart"/>
            <w:r>
              <w:rPr>
                <w:rFonts w:ascii="Sylfaen" w:eastAsia="Times New Roman" w:hAnsi="Sylfaen" w:cs="Sylfaen"/>
              </w:rPr>
              <w:t>პუნქტისა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„</w:t>
            </w:r>
            <w:proofErr w:type="spellStart"/>
            <w:r>
              <w:rPr>
                <w:rFonts w:ascii="Sylfaen" w:eastAsia="Times New Roman" w:hAnsi="Sylfaen" w:cs="Sylfaen"/>
              </w:rPr>
              <w:t>პროფესიული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საჯარო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მოხელეების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თანამდებობათა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დასახელებებისა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იერარქიულ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რანგებში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განაწილების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წესის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</w:rPr>
              <w:t>შესაბამისი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იერარქიული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რანგისათვის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მიკუთვნებული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მოხელეთა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თანამდებობების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იერარქიული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ჩამონათვალის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განსაზღვრის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>
              <w:rPr>
                <w:rFonts w:eastAsia="Times New Roman"/>
              </w:rPr>
              <w:t xml:space="preserve">“ </w:t>
            </w:r>
            <w:bookmarkStart w:id="2" w:name="_GoBack"/>
            <w:bookmarkEnd w:id="2"/>
            <w:proofErr w:type="spellStart"/>
            <w:r w:rsidRPr="007D2374">
              <w:rPr>
                <w:rFonts w:ascii="Sylfaen" w:eastAsia="Times New Roman" w:hAnsi="Sylfaen" w:cs="Sylfaen"/>
              </w:rPr>
              <w:t>საქართველოს</w:t>
            </w:r>
            <w:proofErr w:type="spellEnd"/>
            <w:r w:rsidRPr="007D2374">
              <w:rPr>
                <w:rFonts w:eastAsia="Times New Roman"/>
              </w:rPr>
              <w:t xml:space="preserve"> </w:t>
            </w:r>
            <w:proofErr w:type="spellStart"/>
            <w:r w:rsidRPr="007D2374">
              <w:rPr>
                <w:rFonts w:ascii="Sylfaen" w:eastAsia="Times New Roman" w:hAnsi="Sylfaen" w:cs="Sylfaen"/>
              </w:rPr>
              <w:t>მთავრობის</w:t>
            </w:r>
            <w:proofErr w:type="spellEnd"/>
            <w:r w:rsidRPr="007D2374">
              <w:rPr>
                <w:rFonts w:eastAsia="Times New Roman"/>
              </w:rPr>
              <w:t xml:space="preserve"> 2017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წლის</w:t>
            </w:r>
            <w:proofErr w:type="spellEnd"/>
            <w:r>
              <w:rPr>
                <w:rFonts w:eastAsia="Times New Roman"/>
              </w:rPr>
              <w:t xml:space="preserve"> 26 </w:t>
            </w:r>
            <w:proofErr w:type="spellStart"/>
            <w:r>
              <w:rPr>
                <w:rFonts w:ascii="Sylfaen" w:eastAsia="Times New Roman" w:hAnsi="Sylfaen" w:cs="Sylfaen"/>
              </w:rPr>
              <w:t>აპრილის</w:t>
            </w:r>
            <w:proofErr w:type="spellEnd"/>
            <w:r>
              <w:rPr>
                <w:rFonts w:eastAsia="Times New Roman"/>
              </w:rPr>
              <w:t xml:space="preserve"> №215 </w:t>
            </w:r>
            <w:proofErr w:type="spellStart"/>
            <w:r>
              <w:rPr>
                <w:rFonts w:ascii="Sylfaen" w:eastAsia="Times New Roman" w:hAnsi="Sylfaen" w:cs="Sylfaen"/>
              </w:rPr>
              <w:t>დადგენილების</w:t>
            </w:r>
            <w:proofErr w:type="spellEnd"/>
            <w:r>
              <w:rPr>
                <w:rFonts w:eastAsia="Times New Roman"/>
              </w:rPr>
              <w:t xml:space="preserve">  </w:t>
            </w:r>
            <w:proofErr w:type="spellStart"/>
            <w:r>
              <w:rPr>
                <w:rFonts w:ascii="Sylfaen" w:eastAsia="Times New Roman" w:hAnsi="Sylfaen" w:cs="Sylfaen"/>
              </w:rPr>
              <w:t>შესაბამისად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</w:rPr>
              <w:t>წალენჯიხის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მუნიციპალიტეტის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საკრებულო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ადგენს</w:t>
            </w:r>
            <w:proofErr w:type="spellEnd"/>
            <w:r>
              <w:rPr>
                <w:rFonts w:eastAsia="Times New Roman"/>
                <w:b/>
                <w:bCs/>
              </w:rPr>
              <w:t>:</w:t>
            </w:r>
          </w:p>
        </w:tc>
      </w:tr>
    </w:tbl>
    <w:p w14:paraId="5E531242" w14:textId="77777777" w:rsidR="00A149B0" w:rsidRDefault="00A149B0">
      <w:pPr>
        <w:divId w:val="1833642719"/>
        <w:rPr>
          <w:rFonts w:eastAsia="Times New Roman"/>
        </w:rPr>
      </w:pPr>
      <w:bookmarkStart w:id="3" w:name="DOCUMENT:1;ARTICLE:1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263BF4DD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056BA" w14:textId="77777777" w:rsidR="00A149B0" w:rsidRDefault="00FD7993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14:paraId="652D8D36" w14:textId="77777777" w:rsidR="00A149B0" w:rsidRDefault="00A149B0">
      <w:pPr>
        <w:divId w:val="183364271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560B71C1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F4309" w14:textId="77777777" w:rsidR="00A149B0" w:rsidRDefault="00FD7993">
            <w:pPr>
              <w:jc w:val="both"/>
              <w:divId w:val="1151025231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</w:rPr>
              <w:t>დამტკიცდეს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თანდართული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</w:rPr>
              <w:t>წალენჯიხის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მუნიციპალიტეტის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მერიის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საშტატო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ნუსხა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წალენჯიხის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მუნიციპალიტეტის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მერიის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პოლიტიკურ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თანამდებობის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პირთა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</w:rPr>
              <w:t>პროფესიულ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საჯარო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მოხელეთა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ადმინისტრაციული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ხელშეკრულებით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დასაქმებულ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პირთა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თანამდებობრივი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სარგოების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ოდენობები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</w:tbl>
    <w:p w14:paraId="1017EFE1" w14:textId="77777777" w:rsidR="00A149B0" w:rsidRDefault="00A149B0">
      <w:pPr>
        <w:divId w:val="1833642719"/>
        <w:rPr>
          <w:rFonts w:eastAsia="Times New Roman"/>
        </w:rPr>
      </w:pPr>
      <w:bookmarkStart w:id="4" w:name="DOCUMENT:1;ARTICLE:2;"/>
      <w:bookmarkEnd w:id="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7D7EFC3F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A3A66" w14:textId="77777777" w:rsidR="00A149B0" w:rsidRDefault="00FD7993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14:paraId="0B9FE8A3" w14:textId="77777777" w:rsidR="00A149B0" w:rsidRDefault="00A149B0">
      <w:pPr>
        <w:divId w:val="183364271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4418FEDE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C7BE0" w14:textId="77777777" w:rsidR="00A149B0" w:rsidRDefault="00FD7993">
            <w:pPr>
              <w:jc w:val="both"/>
              <w:divId w:val="1913419479"/>
              <w:rPr>
                <w:rFonts w:ascii="Sylfaen" w:eastAsia="Times New Roman" w:hAnsi="Sylfaen" w:cs="Sylfaen"/>
              </w:rPr>
            </w:pPr>
            <w:proofErr w:type="spellStart"/>
            <w:r>
              <w:rPr>
                <w:rFonts w:ascii="Sylfaen" w:eastAsia="Times New Roman" w:hAnsi="Sylfaen" w:cs="Sylfaen"/>
              </w:rPr>
              <w:t>ამ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დადგენილების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ამოქმედების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დღიდან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ძალადაკარგულად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გამოცხადდეს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„</w:t>
            </w:r>
            <w:proofErr w:type="spellStart"/>
            <w:r>
              <w:rPr>
                <w:rFonts w:ascii="Sylfaen" w:eastAsia="Times New Roman" w:hAnsi="Sylfaen" w:cs="Sylfaen"/>
              </w:rPr>
              <w:t>წალენჯიხის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მერიის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საშტატო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ნუსხის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დამტკიცებისა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წალენჯიხის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მერიის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პოლიტიკური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თანამდებობის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პირთა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</w:rPr>
              <w:t>პროფესიულ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საჯარო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მოხელეთა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ადმინისტრაციული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ხელშეკრულებით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დასაქმებულ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პირთა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თანამდებობრივი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სარგოების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ოდენობების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განსაზღვრის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“ </w:t>
            </w:r>
            <w:proofErr w:type="spellStart"/>
            <w:r>
              <w:rPr>
                <w:rFonts w:ascii="Sylfaen" w:eastAsia="Times New Roman" w:hAnsi="Sylfaen" w:cs="Sylfaen"/>
              </w:rPr>
              <w:t>წალენჯიხის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მუნიციპალიტეტის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საკრებულოს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201</w:t>
            </w:r>
            <w:r>
              <w:rPr>
                <w:rFonts w:ascii="Sylfaen" w:eastAsia="Times New Roman" w:hAnsi="Sylfaen" w:cs="Sylfaen"/>
                <w:lang w:val="ka-GE"/>
              </w:rPr>
              <w:t xml:space="preserve">9 </w:t>
            </w:r>
            <w:proofErr w:type="spellStart"/>
            <w:r>
              <w:rPr>
                <w:rFonts w:ascii="Sylfaen" w:eastAsia="Times New Roman" w:hAnsi="Sylfaen" w:cs="Sylfaen"/>
              </w:rPr>
              <w:t>წლის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r>
              <w:rPr>
                <w:rFonts w:ascii="Sylfaen" w:eastAsia="Times New Roman" w:hAnsi="Sylfaen" w:cs="Sylfaen"/>
                <w:lang w:val="ka-GE"/>
              </w:rPr>
              <w:t xml:space="preserve">19 აგვისტოს </w:t>
            </w:r>
            <w:r>
              <w:rPr>
                <w:rFonts w:ascii="Sylfaen" w:eastAsia="Times New Roman" w:hAnsi="Sylfaen" w:cs="Sylfaen"/>
              </w:rPr>
              <w:t>№</w:t>
            </w:r>
            <w:r>
              <w:rPr>
                <w:rFonts w:ascii="Sylfaen" w:eastAsia="Times New Roman" w:hAnsi="Sylfaen" w:cs="Sylfaen"/>
                <w:lang w:val="ka-GE"/>
              </w:rPr>
              <w:t>1</w:t>
            </w:r>
            <w:r>
              <w:rPr>
                <w:rFonts w:ascii="Sylfaen" w:eastAsia="Times New Roman" w:hAnsi="Sylfaen" w:cs="Sylfaen"/>
              </w:rPr>
              <w:t xml:space="preserve">7 </w:t>
            </w:r>
            <w:proofErr w:type="spellStart"/>
            <w:r>
              <w:rPr>
                <w:rFonts w:ascii="Sylfaen" w:eastAsia="Times New Roman" w:hAnsi="Sylfaen" w:cs="Sylfaen"/>
              </w:rPr>
              <w:t>დადგენილება</w:t>
            </w:r>
            <w:proofErr w:type="spellEnd"/>
            <w:r>
              <w:rPr>
                <w:rFonts w:ascii="Sylfaen" w:eastAsia="Times New Roman" w:hAnsi="Sylfaen" w:cs="Sylfaen"/>
              </w:rPr>
              <w:t>.</w:t>
            </w:r>
          </w:p>
        </w:tc>
      </w:tr>
    </w:tbl>
    <w:p w14:paraId="0DF650DC" w14:textId="77777777" w:rsidR="00A149B0" w:rsidRDefault="00A149B0">
      <w:pPr>
        <w:divId w:val="1833642719"/>
        <w:rPr>
          <w:rFonts w:eastAsia="Times New Roman"/>
        </w:rPr>
      </w:pPr>
      <w:bookmarkStart w:id="5" w:name="DOCUMENT:1;ARTICLE:3;"/>
      <w:bookmarkEnd w:id="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42AC5CAA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8C2F7" w14:textId="77777777" w:rsidR="00A149B0" w:rsidRDefault="00FD7993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</w:p>
        </w:tc>
      </w:tr>
    </w:tbl>
    <w:p w14:paraId="696BC4EA" w14:textId="77777777" w:rsidR="00A149B0" w:rsidRDefault="00A149B0">
      <w:pPr>
        <w:divId w:val="1833642719"/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2D904F3E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E3912" w14:textId="77777777" w:rsidR="00A149B0" w:rsidRDefault="00FD7993">
            <w:pPr>
              <w:jc w:val="both"/>
              <w:divId w:val="1308895487"/>
              <w:rPr>
                <w:rFonts w:ascii="Sylfaen" w:eastAsia="Times New Roman" w:hAnsi="Sylfaen"/>
                <w:lang w:val="ka-GE"/>
              </w:rPr>
            </w:pPr>
            <w:proofErr w:type="spellStart"/>
            <w:r>
              <w:rPr>
                <w:rFonts w:ascii="Sylfaen" w:eastAsia="Times New Roman" w:hAnsi="Sylfaen" w:cs="Sylfaen"/>
              </w:rPr>
              <w:t>ეს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დადგენილება</w:t>
            </w:r>
            <w:proofErr w:type="spellEnd"/>
            <w:r>
              <w:rPr>
                <w:rFonts w:eastAsia="Times New Roman"/>
              </w:rPr>
              <w:t xml:space="preserve">  </w:t>
            </w:r>
            <w:proofErr w:type="spellStart"/>
            <w:r>
              <w:rPr>
                <w:rFonts w:ascii="Sylfaen" w:eastAsia="Times New Roman" w:hAnsi="Sylfaen" w:cs="Sylfaen"/>
              </w:rPr>
              <w:t>ამოქმედდეს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 xml:space="preserve">2022 </w:t>
            </w:r>
            <w:proofErr w:type="spellStart"/>
            <w:r>
              <w:rPr>
                <w:rFonts w:ascii="Sylfaen" w:eastAsia="Times New Roman" w:hAnsi="Sylfaen" w:cs="Sylfaen"/>
              </w:rPr>
              <w:t>წლის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--</w:t>
            </w:r>
          </w:p>
        </w:tc>
      </w:tr>
    </w:tbl>
    <w:p w14:paraId="143CBFFD" w14:textId="77777777" w:rsidR="00A149B0" w:rsidRDefault="00A149B0">
      <w:pPr>
        <w:divId w:val="1833642719"/>
        <w:rPr>
          <w:rFonts w:eastAsia="Times New Roman"/>
          <w:vanish/>
        </w:rPr>
      </w:pPr>
      <w:bookmarkStart w:id="6" w:name="DOCUMENT:1;FOOTER:1;"/>
      <w:bookmarkEnd w:id="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A149B0" w14:paraId="6869A28B" w14:textId="77777777">
        <w:trPr>
          <w:divId w:val="183364271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04CE" w14:textId="77777777" w:rsidR="00A149B0" w:rsidRDefault="00A149B0">
            <w:pPr>
              <w:jc w:val="both"/>
              <w:rPr>
                <w:rFonts w:eastAsia="Times New Roman"/>
                <w:b/>
                <w:bCs/>
              </w:rPr>
            </w:pPr>
          </w:p>
          <w:tbl>
            <w:tblPr>
              <w:tblW w:w="47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145"/>
              <w:gridCol w:w="3030"/>
              <w:gridCol w:w="1632"/>
            </w:tblGrid>
            <w:tr w:rsidR="00A149B0" w14:paraId="77B2812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4002" w14:textId="77777777" w:rsidR="00A149B0" w:rsidRDefault="00FD7993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წალენჯიხის</w:t>
                  </w:r>
                  <w:proofErr w:type="spellEnd"/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მუნიციპალიტეტის</w:t>
                  </w:r>
                  <w:proofErr w:type="spellEnd"/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საკრებულოს</w:t>
                  </w:r>
                  <w:proofErr w:type="spellEnd"/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თავმჯდომარე</w:t>
                  </w:r>
                  <w:proofErr w:type="spellEnd"/>
                </w:p>
              </w:tc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43593B" w14:textId="77777777" w:rsidR="00A149B0" w:rsidRDefault="00A149B0">
                  <w:pPr>
                    <w:rPr>
                      <w:rFonts w:eastAsia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C2F15E" w14:textId="4FF3DEBC" w:rsidR="00A149B0" w:rsidRPr="00DC1B1B" w:rsidRDefault="00DC1B1B">
                  <w:pPr>
                    <w:rPr>
                      <w:rFonts w:eastAsia="Times New Roman"/>
                      <w:sz w:val="21"/>
                      <w:szCs w:val="21"/>
                      <w:lang w:val="ka-GE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  <w:lang w:val="ka-GE"/>
                    </w:rPr>
                    <w:t>კორნელ</w:t>
                  </w:r>
                  <w:r w:rsidR="00B7110A">
                    <w:rPr>
                      <w:rFonts w:ascii="Sylfaen" w:eastAsia="Times New Roman" w:hAnsi="Sylfaen" w:cs="Sylfaen"/>
                      <w:sz w:val="21"/>
                      <w:szCs w:val="21"/>
                      <w:lang w:val="ka-GE"/>
                    </w:rPr>
                    <w:t>ი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  <w:lang w:val="ka-GE"/>
                    </w:rPr>
                    <w:t xml:space="preserve"> სალია </w:t>
                  </w:r>
                </w:p>
              </w:tc>
            </w:tr>
          </w:tbl>
          <w:p w14:paraId="1612C058" w14:textId="77777777" w:rsidR="00A149B0" w:rsidRDefault="00A149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78D9FA3" w14:textId="77777777" w:rsidR="00FD7993" w:rsidRDefault="00FD7993">
      <w:pPr>
        <w:divId w:val="1833642719"/>
        <w:rPr>
          <w:rFonts w:eastAsia="Times New Roman"/>
        </w:rPr>
      </w:pPr>
      <w:bookmarkStart w:id="7" w:name="DOCUMENT:1;ENCLOSURE:1;"/>
      <w:bookmarkStart w:id="8" w:name="DOCUMENT:1;ENCLOSURE:1;HEADER:1;"/>
      <w:bookmarkEnd w:id="7"/>
      <w:bookmarkEnd w:id="8"/>
    </w:p>
    <w:sectPr w:rsidR="00FD7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FE"/>
    <w:rsid w:val="007D2374"/>
    <w:rsid w:val="008533FE"/>
    <w:rsid w:val="00870171"/>
    <w:rsid w:val="00A149B0"/>
    <w:rsid w:val="00B7110A"/>
    <w:rsid w:val="00DC1B1B"/>
    <w:rsid w:val="00F176AB"/>
    <w:rsid w:val="00FB0B4E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0BA65"/>
  <w15:chartTrackingRefBased/>
  <w15:docId w15:val="{A08AD969-8D00-4B31-B86B-722EF1E2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ivane burduli</dc:creator>
  <cp:keywords/>
  <dc:description/>
  <cp:lastModifiedBy>ნინო ფიფია</cp:lastModifiedBy>
  <cp:revision>10</cp:revision>
  <dcterms:created xsi:type="dcterms:W3CDTF">2022-05-23T15:22:00Z</dcterms:created>
  <dcterms:modified xsi:type="dcterms:W3CDTF">2022-05-25T13:22:00Z</dcterms:modified>
</cp:coreProperties>
</file>